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B76" w:rsidRPr="00712B76">
        <w:rPr>
          <w:rFonts w:ascii="Times New Roman" w:hAnsi="Times New Roman" w:cs="Times New Roman"/>
          <w:b/>
          <w:sz w:val="28"/>
          <w:szCs w:val="28"/>
        </w:rPr>
        <w:t>Организация системы обучения и развития персонала. Адаптация персонала. Кадровый резерв</w:t>
      </w:r>
      <w:proofErr w:type="gramStart"/>
      <w:r w:rsidR="00712B76" w:rsidRPr="00712B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DD0F85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12B76">
        <w:rPr>
          <w:rFonts w:ascii="Times New Roman" w:hAnsi="Times New Roman" w:cs="Times New Roman"/>
          <w:sz w:val="28"/>
          <w:szCs w:val="28"/>
        </w:rPr>
        <w:t>08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DD0F85">
        <w:rPr>
          <w:rFonts w:ascii="Times New Roman" w:hAnsi="Times New Roman" w:cs="Times New Roman"/>
          <w:sz w:val="28"/>
          <w:szCs w:val="28"/>
        </w:rPr>
        <w:t>04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712B76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DD0F85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D0F85">
        <w:rPr>
          <w:rFonts w:ascii="Times New Roman" w:hAnsi="Times New Roman" w:cs="Times New Roman"/>
          <w:sz w:val="28"/>
          <w:szCs w:val="28"/>
        </w:rPr>
        <w:t>15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DD0F85">
        <w:rPr>
          <w:rFonts w:ascii="Times New Roman" w:hAnsi="Times New Roman" w:cs="Times New Roman"/>
          <w:sz w:val="28"/>
          <w:szCs w:val="28"/>
        </w:rPr>
        <w:t>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DD0F8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4917AF">
        <w:rPr>
          <w:rFonts w:ascii="Times New Roman" w:hAnsi="Times New Roman" w:cs="Times New Roman"/>
          <w:sz w:val="28"/>
          <w:szCs w:val="28"/>
        </w:rPr>
        <w:tab/>
      </w:r>
      <w:r w:rsidR="004917AF" w:rsidRPr="004917AF">
        <w:rPr>
          <w:rFonts w:ascii="Times New Roman" w:hAnsi="Times New Roman" w:cs="Times New Roman"/>
          <w:i/>
          <w:sz w:val="28"/>
          <w:szCs w:val="28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4917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</w:t>
      </w:r>
      <w:r w:rsidR="00DD0F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B76">
        <w:rPr>
          <w:rFonts w:ascii="Times New Roman" w:hAnsi="Times New Roman" w:cs="Times New Roman"/>
          <w:sz w:val="28"/>
          <w:szCs w:val="28"/>
        </w:rPr>
        <w:t>дистанционный</w:t>
      </w:r>
      <w:r w:rsidR="00DD0F85">
        <w:rPr>
          <w:rFonts w:ascii="Times New Roman" w:hAnsi="Times New Roman" w:cs="Times New Roman"/>
          <w:sz w:val="28"/>
          <w:szCs w:val="28"/>
        </w:rPr>
        <w:t>,</w:t>
      </w:r>
    </w:p>
    <w:p w:rsidR="00DD0F85" w:rsidRDefault="00AE064B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 – </w:t>
      </w:r>
      <w:r w:rsidR="00712B76">
        <w:rPr>
          <w:rFonts w:ascii="Times New Roman" w:hAnsi="Times New Roman" w:cs="Times New Roman"/>
          <w:sz w:val="28"/>
          <w:szCs w:val="28"/>
        </w:rPr>
        <w:t>7-10</w:t>
      </w:r>
      <w:r w:rsidR="00DD0F85">
        <w:rPr>
          <w:rFonts w:ascii="Times New Roman" w:hAnsi="Times New Roman" w:cs="Times New Roman"/>
          <w:sz w:val="28"/>
          <w:szCs w:val="28"/>
        </w:rPr>
        <w:t xml:space="preserve"> чел. (работники </w:t>
      </w:r>
      <w:r w:rsidR="00712B76">
        <w:rPr>
          <w:rFonts w:ascii="Times New Roman" w:hAnsi="Times New Roman" w:cs="Times New Roman"/>
          <w:sz w:val="28"/>
          <w:szCs w:val="28"/>
        </w:rPr>
        <w:t>учебного центра завода</w:t>
      </w:r>
      <w:r w:rsidR="00DD0F85">
        <w:rPr>
          <w:rFonts w:ascii="Times New Roman" w:hAnsi="Times New Roman" w:cs="Times New Roman"/>
          <w:sz w:val="28"/>
          <w:szCs w:val="28"/>
        </w:rPr>
        <w:t>)</w:t>
      </w:r>
    </w:p>
    <w:p w:rsidR="00DD0F85" w:rsidRDefault="00DD0F85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оказания услуги – на территории ПАО «НЕФАЗ»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ефтекамск,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3),</w:t>
      </w:r>
    </w:p>
    <w:p w:rsidR="00DD0F85" w:rsidRPr="00134B03" w:rsidRDefault="00712B76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 – со свободным доступом к обучающему порталу в течение 14 дней</w:t>
      </w:r>
    </w:p>
    <w:p w:rsidR="00DD0F85" w:rsidRDefault="006C4FC7" w:rsidP="00DD0F85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8629DF">
        <w:rPr>
          <w:rFonts w:ascii="Times New Roman" w:hAnsi="Times New Roman" w:cs="Times New Roman"/>
          <w:sz w:val="28"/>
          <w:szCs w:val="28"/>
        </w:rPr>
        <w:t>ы, выдаваемые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обучения – </w:t>
      </w:r>
      <w:r w:rsidR="00DD0F85">
        <w:rPr>
          <w:rFonts w:ascii="Times New Roman" w:hAnsi="Times New Roman" w:cs="Times New Roman"/>
          <w:sz w:val="28"/>
          <w:szCs w:val="28"/>
        </w:rPr>
        <w:t>сертификаты, раздаточные материалы,</w:t>
      </w:r>
    </w:p>
    <w:p w:rsidR="00DD0F85" w:rsidRDefault="00DD0F85" w:rsidP="00DD0F85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программа обучения:</w:t>
      </w:r>
    </w:p>
    <w:p w:rsidR="00004B5C" w:rsidRPr="002B1D40" w:rsidRDefault="00004B5C" w:rsidP="00004B5C">
      <w:pPr>
        <w:pStyle w:val="aa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b/>
          <w:bCs/>
          <w:color w:val="000000"/>
          <w:sz w:val="28"/>
          <w:szCs w:val="28"/>
        </w:rPr>
      </w:pPr>
      <w:r w:rsidRPr="002B1D40">
        <w:rPr>
          <w:b/>
          <w:bCs/>
          <w:color w:val="000000"/>
          <w:sz w:val="28"/>
          <w:szCs w:val="28"/>
        </w:rPr>
        <w:t>Основные требования законодательства об образовании.</w:t>
      </w:r>
    </w:p>
    <w:p w:rsidR="00004B5C" w:rsidRPr="002B1D40" w:rsidRDefault="00004B5C" w:rsidP="00004B5C">
      <w:pPr>
        <w:pStyle w:val="aa"/>
        <w:spacing w:before="0" w:beforeAutospacing="0" w:after="0" w:afterAutospacing="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2B1D40">
        <w:rPr>
          <w:bCs/>
          <w:color w:val="000000"/>
          <w:sz w:val="28"/>
          <w:szCs w:val="28"/>
        </w:rPr>
        <w:t>Комментарии к Федеральному Закону № 273-ФЗ от 29.12.2012 и другим нормативным правовым актам, регулирующим организацию и документирование процесса обучения. Локальные нормативные акты, регламентирующие процесс обучения. Договор как юридическая форма подкрепления мотивации работников.</w:t>
      </w:r>
    </w:p>
    <w:p w:rsidR="00004B5C" w:rsidRPr="002B1D40" w:rsidRDefault="00004B5C" w:rsidP="00004B5C">
      <w:pPr>
        <w:pStyle w:val="a4"/>
        <w:numPr>
          <w:ilvl w:val="0"/>
          <w:numId w:val="14"/>
        </w:numPr>
        <w:suppressAutoHyphens/>
        <w:spacing w:before="100" w:beforeAutospacing="1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D4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Виды проверок</w:t>
      </w:r>
      <w:r w:rsidRPr="002B1D40">
        <w:rPr>
          <w:rFonts w:ascii="Times New Roman" w:hAnsi="Times New Roman" w:cs="Times New Roman"/>
          <w:spacing w:val="-6"/>
          <w:sz w:val="28"/>
          <w:szCs w:val="28"/>
        </w:rPr>
        <w:t>. На что обратить внимание при проверках?</w:t>
      </w:r>
    </w:p>
    <w:p w:rsidR="00004B5C" w:rsidRPr="002B1D40" w:rsidRDefault="00004B5C" w:rsidP="00004B5C">
      <w:pPr>
        <w:pStyle w:val="aa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2B1D40">
        <w:rPr>
          <w:b/>
          <w:bCs/>
          <w:color w:val="000000"/>
          <w:sz w:val="28"/>
          <w:szCs w:val="28"/>
        </w:rPr>
        <w:t xml:space="preserve"> Создание системы профессионального развития персонала по рабочим профессиям.</w:t>
      </w:r>
    </w:p>
    <w:p w:rsidR="00004B5C" w:rsidRPr="006C23AE" w:rsidRDefault="00004B5C" w:rsidP="00004B5C">
      <w:pPr>
        <w:pStyle w:val="aa"/>
        <w:spacing w:before="225" w:beforeAutospacing="0" w:after="225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B1D40">
        <w:rPr>
          <w:color w:val="000000"/>
          <w:sz w:val="28"/>
          <w:szCs w:val="28"/>
        </w:rPr>
        <w:t>Положение и стандарты предприятия по организации профессионального обучения, образовательное подразделение и учебный центр предприятия.</w:t>
      </w:r>
      <w:r>
        <w:rPr>
          <w:color w:val="000000"/>
          <w:sz w:val="28"/>
          <w:szCs w:val="28"/>
        </w:rPr>
        <w:t xml:space="preserve"> </w:t>
      </w:r>
      <w:r w:rsidRPr="006C23AE">
        <w:rPr>
          <w:color w:val="000000"/>
          <w:sz w:val="28"/>
          <w:szCs w:val="28"/>
        </w:rPr>
        <w:t xml:space="preserve">Положение об оценке эффективности обучения. Использование международных стандартов ISO в организации обучения и развития персонала. Задачи внутрипроизводственного </w:t>
      </w:r>
      <w:proofErr w:type="gramStart"/>
      <w:r w:rsidRPr="006C23AE">
        <w:rPr>
          <w:color w:val="000000"/>
          <w:sz w:val="28"/>
          <w:szCs w:val="28"/>
        </w:rPr>
        <w:t>обучения по обеспечению</w:t>
      </w:r>
      <w:proofErr w:type="gramEnd"/>
      <w:r w:rsidRPr="006C23AE">
        <w:rPr>
          <w:color w:val="000000"/>
          <w:sz w:val="28"/>
          <w:szCs w:val="28"/>
        </w:rPr>
        <w:t xml:space="preserve"> профессиональной компетентности персонала. Квалификационные требования к руководителям и специалистам по внутрипроизводственному обучению.</w:t>
      </w:r>
      <w:r>
        <w:rPr>
          <w:color w:val="000000"/>
          <w:sz w:val="28"/>
          <w:szCs w:val="28"/>
        </w:rPr>
        <w:t xml:space="preserve"> </w:t>
      </w:r>
      <w:r w:rsidRPr="002B1D40">
        <w:rPr>
          <w:color w:val="000000"/>
          <w:sz w:val="28"/>
          <w:szCs w:val="28"/>
        </w:rPr>
        <w:t>Источники выявления потребности в обучении. Оценка потенциала работника и его готовности к обучению. Мотивация работников к обучению. Показатели результативности обучения. Практические советы по выстраиванию системы обучения и развития различных категорий специалистов (рабочие кадры, офисные работники, линейные руководители, топ-менеджмент). Соотношение потребности в обучении со стратегией компании.</w:t>
      </w:r>
      <w:r>
        <w:rPr>
          <w:color w:val="000000"/>
          <w:sz w:val="28"/>
          <w:szCs w:val="28"/>
        </w:rPr>
        <w:t xml:space="preserve"> </w:t>
      </w:r>
      <w:r w:rsidRPr="006C23AE">
        <w:rPr>
          <w:bCs/>
          <w:sz w:val="28"/>
          <w:szCs w:val="28"/>
          <w:bdr w:val="none" w:sz="0" w:space="0" w:color="auto" w:frame="1"/>
        </w:rPr>
        <w:t>Подходы к созданию программ обучения</w:t>
      </w:r>
      <w:r w:rsidRPr="00BF539B">
        <w:rPr>
          <w:sz w:val="28"/>
          <w:szCs w:val="28"/>
        </w:rPr>
        <w:t> для различных категорий персонала.</w:t>
      </w:r>
      <w:r>
        <w:rPr>
          <w:sz w:val="28"/>
          <w:szCs w:val="28"/>
        </w:rPr>
        <w:t xml:space="preserve"> </w:t>
      </w:r>
      <w:r w:rsidRPr="006C23AE">
        <w:rPr>
          <w:bCs/>
          <w:sz w:val="28"/>
          <w:szCs w:val="28"/>
          <w:bdr w:val="none" w:sz="0" w:space="0" w:color="auto" w:frame="1"/>
        </w:rPr>
        <w:t>Методы обучения,</w:t>
      </w:r>
      <w:r w:rsidRPr="00BF539B">
        <w:rPr>
          <w:sz w:val="28"/>
          <w:szCs w:val="28"/>
        </w:rPr>
        <w:t> наиболее эффективные для каждой целевой аудитории в конкретный момент времени. Формируем оптимальный портфель.</w:t>
      </w:r>
    </w:p>
    <w:p w:rsidR="00004B5C" w:rsidRPr="006C23AE" w:rsidRDefault="00004B5C" w:rsidP="00004B5C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Внедрение профессиональных стандартов на предприятии.</w:t>
      </w:r>
    </w:p>
    <w:p w:rsidR="00004B5C" w:rsidRDefault="00004B5C" w:rsidP="00004B5C">
      <w:pPr>
        <w:spacing w:after="0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Порядок применения </w:t>
      </w:r>
      <w:proofErr w:type="spellStart"/>
      <w:r w:rsidRPr="006C23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профстандартов</w:t>
      </w:r>
      <w:proofErr w:type="spellEnd"/>
      <w:r w:rsidRPr="006C23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исполняем требования законодательства РФ и учитываем интересов организации.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Локальные нормативные акты предприятия, необходимые к оформлению при внедрении </w:t>
      </w:r>
      <w:proofErr w:type="spellStart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профстандартов</w:t>
      </w:r>
      <w:proofErr w:type="spellEnd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План мероприятий по внедрению </w:t>
      </w:r>
      <w:proofErr w:type="spellStart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профстандартов</w:t>
      </w:r>
      <w:proofErr w:type="spellEnd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 предприятии.</w:t>
      </w:r>
    </w:p>
    <w:p w:rsidR="00004B5C" w:rsidRPr="006C23AE" w:rsidRDefault="00004B5C" w:rsidP="00004B5C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5C" w:rsidRPr="006C23AE" w:rsidRDefault="00004B5C" w:rsidP="00004B5C">
      <w:pPr>
        <w:pStyle w:val="a4"/>
        <w:numPr>
          <w:ilvl w:val="0"/>
          <w:numId w:val="14"/>
        </w:numPr>
        <w:shd w:val="clear" w:color="auto" w:fill="FFFFFF"/>
        <w:spacing w:before="100" w:beforeAutospacing="1" w:after="0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Профессиональный стандарт "Специалист по управлению персоналом". </w:t>
      </w:r>
      <w:r w:rsidRPr="006C23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Требования к квалификации и основные компетенции специалиста. Стратегия профессионального развития.</w:t>
      </w:r>
    </w:p>
    <w:p w:rsidR="00004B5C" w:rsidRDefault="00004B5C" w:rsidP="00004B5C">
      <w:pPr>
        <w:spacing w:after="0"/>
        <w:contextualSpacing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4B5C" w:rsidRPr="006C23AE" w:rsidRDefault="00004B5C" w:rsidP="00004B5C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Управление мотивацией персонала. Расширяем арсенал приемов, методов и решений руководителя.</w:t>
      </w:r>
    </w:p>
    <w:p w:rsidR="00004B5C" w:rsidRDefault="00004B5C" w:rsidP="00004B5C">
      <w:pPr>
        <w:spacing w:after="0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мотивировать работника, используя законодательные нормы? Чего работники хотят на самом деле и как это связать с целями компании?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Комплексная система мотивации: баланс </w:t>
      </w:r>
      <w:proofErr w:type="gramStart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материального</w:t>
      </w:r>
      <w:proofErr w:type="gramEnd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 нематериального. Выстраиваем систему и оцениваем эффективность.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Мотивация с учетом личностных различий: </w:t>
      </w:r>
      <w:proofErr w:type="gramStart"/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возрастные</w:t>
      </w:r>
      <w:proofErr w:type="gramEnd"/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гендерные, социокультурные, профессиональные.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Теория поколений как HR-инструмент.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Карта </w:t>
      </w:r>
      <w:proofErr w:type="spellStart"/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мотиваторов</w:t>
      </w:r>
      <w:proofErr w:type="spellEnd"/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Определение ведущих в данный момент потребностей отдельного сотрудника (практикум).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Организационные формы нематериального стимулирования. Корпоративная культура, стиль управления и донесения информации до персонала: мотивирующие и </w:t>
      </w:r>
      <w:proofErr w:type="spellStart"/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демотивирующие</w:t>
      </w:r>
      <w:proofErr w:type="spellEnd"/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факторы.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Мотивация при изменениях: увеличении обязанностей, задач, расширении зон ответственности.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355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Оценка вовлеченности и удовлетв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оренности персонала (практикум). </w:t>
      </w:r>
    </w:p>
    <w:p w:rsidR="00004B5C" w:rsidRDefault="00004B5C" w:rsidP="00004B5C">
      <w:pPr>
        <w:spacing w:after="0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04B5C" w:rsidRPr="006C23AE" w:rsidRDefault="00004B5C" w:rsidP="00004B5C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Практики оценки "нового" персонала.</w:t>
      </w:r>
    </w:p>
    <w:p w:rsidR="00004B5C" w:rsidRDefault="00004B5C" w:rsidP="00004B5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sz w:val="28"/>
          <w:szCs w:val="28"/>
          <w:lang w:eastAsia="ru-RU"/>
        </w:rPr>
        <w:t xml:space="preserve">Кейсы из методик лучших компаний по оценке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персонала</w:t>
      </w:r>
      <w:r w:rsidRPr="006C23AE">
        <w:rPr>
          <w:rFonts w:ascii="Times New Roman" w:hAnsi="Times New Roman" w:cs="Times New Roman"/>
          <w:sz w:val="28"/>
          <w:szCs w:val="28"/>
          <w:lang w:eastAsia="ru-RU"/>
        </w:rPr>
        <w:t>. Оценка с точки зрения руководителя, коллег, клиента - как собрать обратную связь.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C6F">
        <w:rPr>
          <w:rFonts w:ascii="Times New Roman" w:hAnsi="Times New Roman" w:cs="Times New Roman"/>
          <w:sz w:val="28"/>
          <w:szCs w:val="28"/>
          <w:lang w:eastAsia="ru-RU"/>
        </w:rPr>
        <w:t>Как оценку превратить в мотивацию.</w:t>
      </w:r>
    </w:p>
    <w:p w:rsidR="00004B5C" w:rsidRPr="00620C6F" w:rsidRDefault="00004B5C" w:rsidP="00004B5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5C" w:rsidRDefault="00004B5C" w:rsidP="00004B5C">
      <w:pPr>
        <w:pStyle w:val="a4"/>
        <w:numPr>
          <w:ilvl w:val="0"/>
          <w:numId w:val="14"/>
        </w:numPr>
        <w:shd w:val="clear" w:color="auto" w:fill="FFFFFF"/>
        <w:spacing w:beforeAutospacing="1"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Современные технологии </w:t>
      </w:r>
      <w:proofErr w:type="gramStart"/>
      <w:r w:rsidRPr="006C23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6C23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C23AE">
        <w:rPr>
          <w:rFonts w:ascii="Times New Roman" w:hAnsi="Times New Roman" w:cs="Times New Roman"/>
          <w:sz w:val="28"/>
          <w:szCs w:val="28"/>
          <w:lang w:eastAsia="ru-RU"/>
        </w:rPr>
        <w:t>  Тесты и опросники, автоматизация HR-процессов.</w:t>
      </w:r>
    </w:p>
    <w:p w:rsidR="00004B5C" w:rsidRPr="006C23AE" w:rsidRDefault="00004B5C" w:rsidP="00004B5C">
      <w:pPr>
        <w:pStyle w:val="a4"/>
        <w:shd w:val="clear" w:color="auto" w:fill="FFFFFF"/>
        <w:spacing w:beforeAutospacing="1" w:after="0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5C" w:rsidRPr="000173E4" w:rsidRDefault="00004B5C" w:rsidP="00004B5C">
      <w:pPr>
        <w:pStyle w:val="a4"/>
        <w:numPr>
          <w:ilvl w:val="0"/>
          <w:numId w:val="14"/>
        </w:numPr>
        <w:shd w:val="clear" w:color="auto" w:fill="FFFFFF"/>
        <w:spacing w:beforeAutospacing="1"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C23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эффективности подбора и адаптации.</w:t>
      </w:r>
      <w:r w:rsidRPr="006C23AE">
        <w:rPr>
          <w:rFonts w:ascii="Times New Roman" w:hAnsi="Times New Roman" w:cs="Times New Roman"/>
          <w:sz w:val="28"/>
          <w:szCs w:val="28"/>
          <w:lang w:eastAsia="ru-RU"/>
        </w:rPr>
        <w:t xml:space="preserve"> KPI деятельности HR, </w:t>
      </w:r>
      <w:proofErr w:type="gramStart"/>
      <w:r w:rsidRPr="006C23AE">
        <w:rPr>
          <w:rFonts w:ascii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новых сотрудников.</w:t>
      </w:r>
    </w:p>
    <w:p w:rsidR="00004B5C" w:rsidRDefault="00004B5C" w:rsidP="00004B5C">
      <w:pPr>
        <w:pStyle w:val="a4"/>
        <w:shd w:val="clear" w:color="auto" w:fill="FFFFFF"/>
        <w:spacing w:beforeAutospacing="1" w:after="0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5C" w:rsidRDefault="00004B5C" w:rsidP="00004B5C">
      <w:pPr>
        <w:pStyle w:val="a4"/>
        <w:numPr>
          <w:ilvl w:val="0"/>
          <w:numId w:val="14"/>
        </w:numPr>
        <w:shd w:val="clear" w:color="auto" w:fill="FFFFFF"/>
        <w:spacing w:beforeAutospacing="1"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73E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Адаптация персонала. </w:t>
      </w:r>
      <w:r w:rsidRPr="000173E4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добиться, чтобы новички быстро входили в работу и давали результат. Планы обучения. Разработка си</w:t>
      </w: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стемы мотивации для наставников.</w:t>
      </w:r>
    </w:p>
    <w:p w:rsidR="00004B5C" w:rsidRPr="000173E4" w:rsidRDefault="00004B5C" w:rsidP="00004B5C">
      <w:pPr>
        <w:pStyle w:val="a4"/>
        <w:shd w:val="clear" w:color="auto" w:fill="FFFFFF"/>
        <w:spacing w:beforeAutospacing="1" w:after="0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5C" w:rsidRPr="000173E4" w:rsidRDefault="00004B5C" w:rsidP="00004B5C">
      <w:pPr>
        <w:pStyle w:val="a4"/>
        <w:numPr>
          <w:ilvl w:val="0"/>
          <w:numId w:val="14"/>
        </w:numPr>
        <w:shd w:val="clear" w:color="auto" w:fill="FFFFFF"/>
        <w:spacing w:beforeAutospacing="1"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73E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Адаптация молодых работников на предприятии.</w:t>
      </w:r>
    </w:p>
    <w:p w:rsidR="00004B5C" w:rsidRPr="000173E4" w:rsidRDefault="00004B5C" w:rsidP="00004B5C">
      <w:pPr>
        <w:pStyle w:val="a4"/>
        <w:shd w:val="clear" w:color="auto" w:fill="FFFFFF"/>
        <w:spacing w:beforeAutospacing="1" w:after="0"/>
        <w:ind w:left="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73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Преодоление конфликта ожиданий: потребности предприятия и потенциал молодого специалиста. Преодоление конфликта поколений: введение молодых сотрудников в "возрастные" коллективы. Наставничество и </w:t>
      </w:r>
      <w:proofErr w:type="spellStart"/>
      <w:r w:rsidRPr="000173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коучинг</w:t>
      </w:r>
      <w:proofErr w:type="spellEnd"/>
      <w:r w:rsidRPr="000173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технологии адаптации начинающих работников.</w:t>
      </w:r>
    </w:p>
    <w:p w:rsidR="00004B5C" w:rsidRDefault="00004B5C" w:rsidP="00004B5C">
      <w:pPr>
        <w:pStyle w:val="a4"/>
        <w:numPr>
          <w:ilvl w:val="0"/>
          <w:numId w:val="14"/>
        </w:numPr>
        <w:suppressAutoHyphens/>
        <w:spacing w:before="100" w:beforeAutospacing="1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73E4">
        <w:rPr>
          <w:rFonts w:ascii="Times New Roman" w:hAnsi="Times New Roman" w:cs="Times New Roman"/>
          <w:b/>
          <w:spacing w:val="-6"/>
          <w:sz w:val="28"/>
          <w:szCs w:val="28"/>
        </w:rPr>
        <w:t>Регламентация процессов наставничества</w:t>
      </w:r>
      <w:r w:rsidRPr="000173E4">
        <w:rPr>
          <w:rFonts w:ascii="Times New Roman" w:hAnsi="Times New Roman" w:cs="Times New Roman"/>
          <w:spacing w:val="-6"/>
          <w:sz w:val="28"/>
          <w:szCs w:val="28"/>
        </w:rPr>
        <w:t>. Положение о наставничестве.</w:t>
      </w:r>
    </w:p>
    <w:p w:rsidR="00004B5C" w:rsidRPr="000173E4" w:rsidRDefault="00004B5C" w:rsidP="00004B5C">
      <w:pPr>
        <w:pStyle w:val="a4"/>
        <w:spacing w:before="100" w:beforeAutospacing="1"/>
        <w:ind w:left="0"/>
        <w:rPr>
          <w:rFonts w:ascii="Times New Roman" w:hAnsi="Times New Roman" w:cs="Times New Roman"/>
          <w:spacing w:val="-6"/>
          <w:sz w:val="28"/>
          <w:szCs w:val="28"/>
        </w:rPr>
      </w:pPr>
    </w:p>
    <w:p w:rsidR="00004B5C" w:rsidRDefault="00004B5C" w:rsidP="00004B5C">
      <w:pPr>
        <w:pStyle w:val="a4"/>
        <w:numPr>
          <w:ilvl w:val="0"/>
          <w:numId w:val="14"/>
        </w:numPr>
        <w:suppressAutoHyphens/>
        <w:spacing w:before="100" w:beforeAutospacing="1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73E4">
        <w:rPr>
          <w:rFonts w:ascii="Times New Roman" w:hAnsi="Times New Roman" w:cs="Times New Roman"/>
          <w:b/>
          <w:spacing w:val="-6"/>
          <w:sz w:val="28"/>
          <w:szCs w:val="28"/>
        </w:rPr>
        <w:t>Удержание интереса практикантов к предприятию и доведение до трудоустройства</w:t>
      </w:r>
      <w:r w:rsidRPr="000173E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B5C" w:rsidRPr="000173E4" w:rsidRDefault="00004B5C" w:rsidP="00004B5C">
      <w:pPr>
        <w:spacing w:before="100" w:beforeAutospacing="1"/>
        <w:contextualSpacing/>
        <w:rPr>
          <w:rFonts w:ascii="Times New Roman" w:hAnsi="Times New Roman" w:cs="Times New Roman"/>
          <w:spacing w:val="-6"/>
          <w:sz w:val="28"/>
          <w:szCs w:val="28"/>
        </w:rPr>
      </w:pPr>
    </w:p>
    <w:p w:rsidR="00004B5C" w:rsidRPr="000173E4" w:rsidRDefault="00004B5C" w:rsidP="00004B5C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E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Оценка квалификации и потенциала персонала. Современные подходы.</w:t>
      </w:r>
    </w:p>
    <w:p w:rsidR="00004B5C" w:rsidRDefault="00004B5C" w:rsidP="00004B5C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173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Современные технологии оценки персонала. Анализ и оценка результатов труда персонала. Квалификация и потенциал сотрудников как не ошибиться в оценке.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Как избежать </w:t>
      </w:r>
      <w:proofErr w:type="spellStart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демотивации</w:t>
      </w:r>
      <w:proofErr w:type="spellEnd"/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сотрудников при обратной связи и в сложных переговорах с ними.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Управление эффективностью персонала.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3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Оценка эффективности работы службы персонала. «Говорящие» показатели о работе службы персонала для отчета перед высшим руководством.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Оценка персонала (аттестация). Цели, методы и процедура проведения оценки (в </w:t>
      </w:r>
      <w:proofErr w:type="spellStart"/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при внедрении </w:t>
      </w:r>
      <w:proofErr w:type="spellStart"/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профстандартов</w:t>
      </w:r>
      <w:proofErr w:type="spellEnd"/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 Мотивирующая оценка персонала. Оценка достижения результатов. Показатели эффективности существующей системы оценки и их </w:t>
      </w:r>
      <w:proofErr w:type="gramStart"/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пере-смотр</w:t>
      </w:r>
      <w:proofErr w:type="gramEnd"/>
      <w:r w:rsidRPr="00620C6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Новые оценочные процедуры.</w:t>
      </w:r>
    </w:p>
    <w:p w:rsidR="00004B5C" w:rsidRDefault="00004B5C" w:rsidP="00004B5C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5C" w:rsidRPr="000173E4" w:rsidRDefault="00004B5C" w:rsidP="00004B5C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3E4">
        <w:rPr>
          <w:rFonts w:ascii="Times New Roman" w:hAnsi="Times New Roman" w:cs="Times New Roman"/>
          <w:b/>
          <w:spacing w:val="-6"/>
          <w:sz w:val="28"/>
          <w:szCs w:val="28"/>
        </w:rPr>
        <w:t>Оценка персонала до и после обучения. Аттестация персонала.</w:t>
      </w:r>
    </w:p>
    <w:p w:rsidR="00004B5C" w:rsidRDefault="00004B5C" w:rsidP="00004B5C">
      <w:pPr>
        <w:spacing w:before="100" w:beforeAutospacing="1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2B1D40">
        <w:rPr>
          <w:rFonts w:ascii="Times New Roman" w:hAnsi="Times New Roman" w:cs="Times New Roman"/>
          <w:spacing w:val="-6"/>
          <w:sz w:val="28"/>
          <w:szCs w:val="28"/>
        </w:rPr>
        <w:t>Выбор критериев, методов и регламента проведения оценки. Необходимая внутренняя документация предприятия по оценке персонала. Практикум: "Проводим процедуру оценки и аттестации персонала до и после обучения".</w:t>
      </w:r>
    </w:p>
    <w:p w:rsidR="00004B5C" w:rsidRDefault="00004B5C" w:rsidP="00004B5C">
      <w:pPr>
        <w:spacing w:before="100" w:beforeAutospacing="1"/>
        <w:contextualSpacing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4B5C" w:rsidRPr="00004B5C" w:rsidRDefault="00004B5C" w:rsidP="00004B5C">
      <w:pPr>
        <w:pStyle w:val="a4"/>
        <w:numPr>
          <w:ilvl w:val="0"/>
          <w:numId w:val="14"/>
        </w:numPr>
        <w:suppressAutoHyphens/>
        <w:spacing w:before="100" w:beforeAutospacing="1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73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Заключение договора между работником и работодателем на подготовку и дополнительное профессиональное образование. </w:t>
      </w:r>
      <w:r w:rsidRPr="000173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Нормы ТК РФ, закона «Об образовании», закона «О бухгалтерском учете» и иных </w:t>
      </w:r>
      <w:r w:rsidRPr="000173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локальных актов в области построения внутрифирменного обучения работников.</w:t>
      </w:r>
      <w:r w:rsidRPr="000173E4">
        <w:rPr>
          <w:rFonts w:ascii="Times New Roman" w:hAnsi="Times New Roman" w:cs="Times New Roman"/>
          <w:sz w:val="28"/>
          <w:szCs w:val="28"/>
          <w:lang w:eastAsia="ru-RU"/>
        </w:rPr>
        <w:t> Заключение договоров по направлению на обучение работников в сторонние организации. Возмещение затрат связанных с обучением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4B5C" w:rsidRPr="000173E4" w:rsidRDefault="00004B5C" w:rsidP="00004B5C">
      <w:pPr>
        <w:pStyle w:val="a4"/>
        <w:suppressAutoHyphens/>
        <w:spacing w:before="100" w:beforeAutospacing="1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004B5C" w:rsidRPr="000173E4" w:rsidRDefault="00004B5C" w:rsidP="00004B5C">
      <w:pPr>
        <w:pStyle w:val="a4"/>
        <w:numPr>
          <w:ilvl w:val="0"/>
          <w:numId w:val="14"/>
        </w:numPr>
        <w:suppressAutoHyphens/>
        <w:spacing w:before="100" w:beforeAutospacing="1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73E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Рекомендации по выбору внешних провайдеров.</w:t>
      </w:r>
      <w:r w:rsidRPr="00017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Как выбрать </w:t>
      </w:r>
      <w:proofErr w:type="gramStart"/>
      <w:r w:rsidRPr="00017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провайдера</w:t>
      </w:r>
      <w:proofErr w:type="gramEnd"/>
      <w:r w:rsidRPr="00017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Pr="00017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</w:t>
      </w:r>
      <w:proofErr w:type="gramEnd"/>
      <w:r w:rsidRPr="000173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задачи перед ним поставить? Как проверить качество его работы и оценить результаты? Договор с внешним провайдером: особенности заключения, изменения и расторжения. Практические рекомендации.</w:t>
      </w:r>
    </w:p>
    <w:p w:rsidR="00DD0F85" w:rsidRPr="00DD0F85" w:rsidRDefault="00DD0F85" w:rsidP="00DD0F85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C4FC7" w:rsidRPr="00DD0F85" w:rsidRDefault="00B24442" w:rsidP="006C4FC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F5"/>
    <w:multiLevelType w:val="hybridMultilevel"/>
    <w:tmpl w:val="472610E8"/>
    <w:lvl w:ilvl="0" w:tplc="6A14E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620A9"/>
    <w:multiLevelType w:val="hybridMultilevel"/>
    <w:tmpl w:val="BB869A02"/>
    <w:lvl w:ilvl="0" w:tplc="EF5AE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901CD"/>
    <w:multiLevelType w:val="hybridMultilevel"/>
    <w:tmpl w:val="CDB88C0E"/>
    <w:lvl w:ilvl="0" w:tplc="AF1C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B1E48"/>
    <w:multiLevelType w:val="hybridMultilevel"/>
    <w:tmpl w:val="9FFE47C6"/>
    <w:lvl w:ilvl="0" w:tplc="68F2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EA6098"/>
    <w:multiLevelType w:val="hybridMultilevel"/>
    <w:tmpl w:val="C016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1222"/>
    <w:multiLevelType w:val="hybridMultilevel"/>
    <w:tmpl w:val="0FF6C7C6"/>
    <w:lvl w:ilvl="0" w:tplc="55446898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90496E"/>
    <w:multiLevelType w:val="hybridMultilevel"/>
    <w:tmpl w:val="E37CBA42"/>
    <w:lvl w:ilvl="0" w:tplc="E0C6C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761"/>
    <w:multiLevelType w:val="hybridMultilevel"/>
    <w:tmpl w:val="A87289A6"/>
    <w:lvl w:ilvl="0" w:tplc="DC30B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95318"/>
    <w:multiLevelType w:val="hybridMultilevel"/>
    <w:tmpl w:val="E4CC04FC"/>
    <w:lvl w:ilvl="0" w:tplc="F516D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4B5C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7AF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B76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9DF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064B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0F85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0F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F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F85"/>
    <w:rPr>
      <w:sz w:val="20"/>
      <w:szCs w:val="20"/>
    </w:rPr>
  </w:style>
  <w:style w:type="paragraph" w:styleId="aa">
    <w:name w:val="Normal (Web)"/>
    <w:basedOn w:val="a"/>
    <w:uiPriority w:val="99"/>
    <w:unhideWhenUsed/>
    <w:rsid w:val="0000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22</cp:revision>
  <cp:lastPrinted>2017-10-06T13:08:00Z</cp:lastPrinted>
  <dcterms:created xsi:type="dcterms:W3CDTF">2017-09-18T03:50:00Z</dcterms:created>
  <dcterms:modified xsi:type="dcterms:W3CDTF">2018-03-27T06:39:00Z</dcterms:modified>
</cp:coreProperties>
</file>