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5AAB" w:rsidRDefault="00D65AAB" w:rsidP="002D4A52">
      <w:pPr>
        <w:spacing w:after="0"/>
        <w:rPr>
          <w:b/>
        </w:rPr>
      </w:pPr>
    </w:p>
    <w:p w:rsidR="008C1134" w:rsidRPr="00844BB2" w:rsidRDefault="008C1134" w:rsidP="002D4A52">
      <w:pPr>
        <w:spacing w:after="0"/>
        <w:rPr>
          <w:b/>
        </w:rPr>
      </w:pPr>
    </w:p>
    <w:p w:rsidR="002D4A52" w:rsidRPr="00844BB2" w:rsidRDefault="002D4A52" w:rsidP="002D4A52">
      <w:pPr>
        <w:spacing w:after="0"/>
      </w:pPr>
    </w:p>
    <w:p w:rsidR="002D4A52" w:rsidRDefault="002D4A52" w:rsidP="002D4A52">
      <w:pPr>
        <w:spacing w:after="0"/>
        <w:jc w:val="center"/>
        <w:rPr>
          <w:b/>
        </w:rPr>
      </w:pPr>
      <w:r w:rsidRPr="00844BB2">
        <w:rPr>
          <w:b/>
        </w:rPr>
        <w:t>Техническое задание</w:t>
      </w:r>
      <w:r w:rsidR="00BA3AE9" w:rsidRPr="00BA3AE9">
        <w:rPr>
          <w:b/>
        </w:rPr>
        <w:t xml:space="preserve"> </w:t>
      </w:r>
      <w:r w:rsidR="00BA3AE9">
        <w:rPr>
          <w:b/>
        </w:rPr>
        <w:t>на закупку продукции</w:t>
      </w:r>
      <w:r w:rsidRPr="00844BB2">
        <w:rPr>
          <w:b/>
        </w:rPr>
        <w:t xml:space="preserve"> </w:t>
      </w:r>
      <w:r w:rsidR="00BA3AE9">
        <w:rPr>
          <w:b/>
        </w:rPr>
        <w:t>«</w:t>
      </w:r>
      <w:r w:rsidR="00D65AAB">
        <w:rPr>
          <w:b/>
        </w:rPr>
        <w:t>Н</w:t>
      </w:r>
      <w:r w:rsidR="004A3806">
        <w:rPr>
          <w:b/>
        </w:rPr>
        <w:t>астенные календари на 2025 год</w:t>
      </w:r>
      <w:r w:rsidR="00BA3AE9">
        <w:rPr>
          <w:b/>
        </w:rPr>
        <w:t>»</w:t>
      </w:r>
      <w:r w:rsidRPr="00844BB2">
        <w:rPr>
          <w:b/>
        </w:rPr>
        <w:t>.</w:t>
      </w:r>
    </w:p>
    <w:p w:rsidR="004A3806" w:rsidRDefault="004A3806" w:rsidP="002D4A52">
      <w:pPr>
        <w:spacing w:after="0"/>
        <w:jc w:val="center"/>
        <w:rPr>
          <w:b/>
        </w:rPr>
      </w:pPr>
    </w:p>
    <w:p w:rsidR="004A3806" w:rsidRDefault="004A3806" w:rsidP="002D4A52">
      <w:pPr>
        <w:spacing w:after="0"/>
        <w:jc w:val="center"/>
        <w:rPr>
          <w:b/>
        </w:rPr>
      </w:pPr>
    </w:p>
    <w:p w:rsidR="004A3806" w:rsidRDefault="004A3806" w:rsidP="008C1134">
      <w:pPr>
        <w:pStyle w:val="a3"/>
        <w:numPr>
          <w:ilvl w:val="0"/>
          <w:numId w:val="2"/>
        </w:numPr>
        <w:spacing w:after="0"/>
        <w:jc w:val="both"/>
        <w:rPr>
          <w:b/>
        </w:rPr>
      </w:pPr>
      <w:r>
        <w:rPr>
          <w:b/>
        </w:rPr>
        <w:t>Общие требования</w:t>
      </w:r>
    </w:p>
    <w:p w:rsidR="004A3806" w:rsidRDefault="004A3806" w:rsidP="008C1134">
      <w:pPr>
        <w:pStyle w:val="a3"/>
        <w:numPr>
          <w:ilvl w:val="1"/>
          <w:numId w:val="2"/>
        </w:numPr>
        <w:spacing w:after="0"/>
        <w:jc w:val="both"/>
        <w:rPr>
          <w:b/>
        </w:rPr>
      </w:pPr>
      <w:r>
        <w:rPr>
          <w:b/>
        </w:rPr>
        <w:t xml:space="preserve"> Предмет:</w:t>
      </w:r>
    </w:p>
    <w:p w:rsidR="00951C81" w:rsidRDefault="00951C81" w:rsidP="008C1134">
      <w:pPr>
        <w:spacing w:after="0"/>
        <w:ind w:left="360"/>
        <w:jc w:val="both"/>
        <w:rPr>
          <w:b/>
        </w:rPr>
      </w:pPr>
    </w:p>
    <w:p w:rsidR="00951C81" w:rsidRDefault="00951C81" w:rsidP="008C1134">
      <w:pPr>
        <w:spacing w:after="0"/>
        <w:ind w:left="360"/>
        <w:jc w:val="both"/>
      </w:pPr>
      <w:r>
        <w:t>Настенный квартальный календарь, трехсекционный перекидной, мелованная бумага, плотностью не менее 115 г</w:t>
      </w:r>
      <w:r w:rsidRPr="00951C81">
        <w:t>/</w:t>
      </w:r>
      <w:r>
        <w:t>кв.м</w:t>
      </w:r>
    </w:p>
    <w:p w:rsidR="00951C81" w:rsidRDefault="00951C81" w:rsidP="008C1134">
      <w:pPr>
        <w:spacing w:after="0"/>
        <w:ind w:left="360"/>
        <w:jc w:val="both"/>
      </w:pPr>
    </w:p>
    <w:p w:rsidR="00951C81" w:rsidRDefault="00951C81" w:rsidP="008C1134">
      <w:pPr>
        <w:spacing w:after="0"/>
        <w:ind w:left="360"/>
        <w:jc w:val="both"/>
      </w:pPr>
      <w:r>
        <w:t>13 топ слайдов на каждый месяц, размером не менее 30х30 см. На каждый месяц утверждается отдельный макет (13 макетов). Месяц отрывной совместно со слайдом.</w:t>
      </w:r>
    </w:p>
    <w:p w:rsidR="00951C81" w:rsidRDefault="00951C81" w:rsidP="008C1134">
      <w:pPr>
        <w:spacing w:after="0"/>
        <w:ind w:left="360"/>
        <w:jc w:val="both"/>
      </w:pPr>
      <w:r>
        <w:t>Календарь на пружинах с бегунком.</w:t>
      </w:r>
    </w:p>
    <w:p w:rsidR="00951C81" w:rsidRDefault="00951C81" w:rsidP="008C1134">
      <w:pPr>
        <w:spacing w:after="0"/>
        <w:ind w:left="360"/>
        <w:jc w:val="both"/>
      </w:pPr>
      <w:r>
        <w:t>Верхнее поле: 202</w:t>
      </w:r>
      <w:r w:rsidR="00304CF8">
        <w:t>5</w:t>
      </w:r>
      <w:r>
        <w:t xml:space="preserve"> ПАО «НЕФАЗ»</w:t>
      </w:r>
    </w:p>
    <w:p w:rsidR="00951C81" w:rsidRDefault="00951C81" w:rsidP="008C1134">
      <w:pPr>
        <w:spacing w:after="0"/>
        <w:ind w:left="360"/>
        <w:jc w:val="both"/>
      </w:pPr>
    </w:p>
    <w:p w:rsidR="00951C81" w:rsidRPr="00304CF8" w:rsidRDefault="00951C81" w:rsidP="00304CF8">
      <w:pPr>
        <w:spacing w:after="0"/>
        <w:ind w:left="360"/>
        <w:jc w:val="both"/>
      </w:pPr>
      <w:r>
        <w:t>Нижнее поле: ПАО «НЕФАЗ», 452680, Республика Башкортостан, г. Нефтекамск, ул. Янаульская, 3. Телефон отдела сбыта: 8(34783)</w:t>
      </w:r>
      <w:r w:rsidR="00304CF8">
        <w:t xml:space="preserve"> 6-33-64, 6-31-46; Факс 8(34783) 6-35-75, </w:t>
      </w:r>
      <w:hyperlink r:id="rId5" w:history="1">
        <w:r w:rsidRPr="007B383D">
          <w:rPr>
            <w:rStyle w:val="a8"/>
            <w:lang w:val="en-US"/>
          </w:rPr>
          <w:t>www</w:t>
        </w:r>
        <w:r w:rsidRPr="00BA3AE9">
          <w:rPr>
            <w:rStyle w:val="a8"/>
          </w:rPr>
          <w:t>.</w:t>
        </w:r>
        <w:r w:rsidRPr="007B383D">
          <w:rPr>
            <w:rStyle w:val="a8"/>
            <w:lang w:val="en-US"/>
          </w:rPr>
          <w:t>nefaz</w:t>
        </w:r>
        <w:r w:rsidRPr="00BA3AE9">
          <w:rPr>
            <w:rStyle w:val="a8"/>
          </w:rPr>
          <w:t>.</w:t>
        </w:r>
        <w:r w:rsidRPr="007B383D">
          <w:rPr>
            <w:rStyle w:val="a8"/>
            <w:lang w:val="en-US"/>
          </w:rPr>
          <w:t>ru</w:t>
        </w:r>
      </w:hyperlink>
      <w:r w:rsidR="00304CF8">
        <w:rPr>
          <w:rStyle w:val="a8"/>
        </w:rPr>
        <w:t>.</w:t>
      </w:r>
    </w:p>
    <w:p w:rsidR="00951C81" w:rsidRPr="00BA3AE9" w:rsidRDefault="00951C81" w:rsidP="008C1134">
      <w:pPr>
        <w:spacing w:after="0"/>
        <w:ind w:left="360"/>
        <w:jc w:val="both"/>
      </w:pPr>
    </w:p>
    <w:p w:rsidR="00951C81" w:rsidRDefault="00951C81" w:rsidP="008C1134">
      <w:pPr>
        <w:spacing w:after="0"/>
        <w:ind w:left="360"/>
        <w:jc w:val="both"/>
      </w:pPr>
      <w:r>
        <w:t>Календарь должен состоять из 4 подложек и 3 сеток со слайдами (размеры ориентировочные):</w:t>
      </w:r>
    </w:p>
    <w:p w:rsidR="00951C81" w:rsidRDefault="00951C81" w:rsidP="008C1134">
      <w:pPr>
        <w:spacing w:after="0"/>
        <w:ind w:left="360"/>
        <w:jc w:val="both"/>
      </w:pPr>
    </w:p>
    <w:p w:rsidR="00951C81" w:rsidRDefault="00951C81" w:rsidP="008C1134">
      <w:pPr>
        <w:pStyle w:val="a3"/>
        <w:numPr>
          <w:ilvl w:val="0"/>
          <w:numId w:val="3"/>
        </w:numPr>
        <w:spacing w:after="0"/>
        <w:jc w:val="both"/>
      </w:pPr>
      <w:r>
        <w:t>Верхнее поле: подложка размером 80х297 мм, сетка отсутствует;</w:t>
      </w:r>
    </w:p>
    <w:p w:rsidR="00951C81" w:rsidRDefault="00951C81" w:rsidP="008C1134">
      <w:pPr>
        <w:pStyle w:val="a3"/>
        <w:numPr>
          <w:ilvl w:val="0"/>
          <w:numId w:val="3"/>
        </w:numPr>
        <w:spacing w:after="0"/>
        <w:jc w:val="both"/>
      </w:pPr>
      <w:r>
        <w:t>Первый квартал: подложка размером 305х297 мм, сетка отсутствует;</w:t>
      </w:r>
    </w:p>
    <w:p w:rsidR="00951C81" w:rsidRDefault="00951C81" w:rsidP="008C1134">
      <w:pPr>
        <w:pStyle w:val="a3"/>
        <w:numPr>
          <w:ilvl w:val="0"/>
          <w:numId w:val="3"/>
        </w:numPr>
        <w:spacing w:after="0"/>
        <w:jc w:val="both"/>
      </w:pPr>
      <w:r>
        <w:t>Второй квартал:</w:t>
      </w:r>
      <w:r w:rsidRPr="00951C81">
        <w:t xml:space="preserve"> </w:t>
      </w:r>
      <w:r>
        <w:t>подложка размером 305х297 мм, сетка отсутствует;</w:t>
      </w:r>
    </w:p>
    <w:p w:rsidR="00951C81" w:rsidRDefault="00951C81" w:rsidP="008C1134">
      <w:pPr>
        <w:pStyle w:val="a3"/>
        <w:numPr>
          <w:ilvl w:val="0"/>
          <w:numId w:val="3"/>
        </w:numPr>
        <w:spacing w:after="0"/>
        <w:jc w:val="both"/>
      </w:pPr>
      <w:r>
        <w:t>Третий квартал: подложка размером 325х297 мм, сетка 295х297 мм.</w:t>
      </w:r>
    </w:p>
    <w:p w:rsidR="00951C81" w:rsidRDefault="00951C81" w:rsidP="008C1134">
      <w:pPr>
        <w:spacing w:after="0"/>
        <w:jc w:val="both"/>
      </w:pPr>
    </w:p>
    <w:p w:rsidR="00951C81" w:rsidRDefault="00951C81" w:rsidP="008C1134">
      <w:pPr>
        <w:spacing w:after="0"/>
        <w:ind w:left="360"/>
        <w:jc w:val="both"/>
      </w:pPr>
      <w:r>
        <w:t>Плотность сетки 115 гр</w:t>
      </w:r>
      <w:r w:rsidRPr="00951C81">
        <w:t>/</w:t>
      </w:r>
      <w:r>
        <w:t>м</w:t>
      </w:r>
      <w:r w:rsidR="0022267A" w:rsidRPr="00951C81">
        <w:rPr>
          <w:vertAlign w:val="superscript"/>
        </w:rPr>
        <w:t>2</w:t>
      </w:r>
      <w:r w:rsidR="0022267A">
        <w:t>;</w:t>
      </w:r>
      <w:r>
        <w:t xml:space="preserve"> подложка – мелованный картон.</w:t>
      </w:r>
    </w:p>
    <w:p w:rsidR="00951C81" w:rsidRDefault="00951C81" w:rsidP="00951C81">
      <w:pPr>
        <w:spacing w:after="0"/>
        <w:ind w:left="360"/>
      </w:pPr>
    </w:p>
    <w:p w:rsidR="00951C81" w:rsidRPr="000F6691" w:rsidRDefault="00951C81" w:rsidP="00951C81">
      <w:pPr>
        <w:spacing w:after="0"/>
        <w:ind w:left="360"/>
        <w:rPr>
          <w:lang w:val="en-US"/>
        </w:rPr>
      </w:pPr>
      <w:r>
        <w:t>Количество: 200 штук</w:t>
      </w:r>
    </w:p>
    <w:p w:rsidR="00951C81" w:rsidRDefault="00951C81" w:rsidP="00951C81">
      <w:pPr>
        <w:spacing w:after="0"/>
        <w:ind w:left="360"/>
        <w:jc w:val="center"/>
      </w:pPr>
      <w:r>
        <w:t>Образец</w:t>
      </w:r>
    </w:p>
    <w:p w:rsidR="0074338C" w:rsidRPr="00951C81" w:rsidRDefault="000F6691" w:rsidP="00951C81">
      <w:pPr>
        <w:spacing w:after="0"/>
        <w:ind w:left="360"/>
        <w:jc w:val="center"/>
      </w:pPr>
      <w:r>
        <w:rPr>
          <w:noProof/>
          <w:lang w:eastAsia="ru-RU"/>
        </w:rPr>
        <w:drawing>
          <wp:inline distT="0" distB="0" distL="0" distR="0">
            <wp:extent cx="752475" cy="2486209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4393" cy="25255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D4A52" w:rsidRPr="00A049E7" w:rsidRDefault="00A049E7" w:rsidP="008C1134">
      <w:pPr>
        <w:pStyle w:val="a3"/>
        <w:numPr>
          <w:ilvl w:val="1"/>
          <w:numId w:val="2"/>
        </w:numPr>
        <w:ind w:left="851" w:hanging="491"/>
        <w:jc w:val="both"/>
        <w:rPr>
          <w:b/>
        </w:rPr>
      </w:pPr>
      <w:r>
        <w:rPr>
          <w:b/>
        </w:rPr>
        <w:t xml:space="preserve">Требования к срокам поставки: </w:t>
      </w:r>
      <w:r>
        <w:t>Разовая, в течении 10 дней с момента утверждения макета после заключения договора.</w:t>
      </w:r>
    </w:p>
    <w:p w:rsidR="00A049E7" w:rsidRDefault="00A049E7" w:rsidP="008C1134">
      <w:pPr>
        <w:pStyle w:val="a3"/>
        <w:numPr>
          <w:ilvl w:val="1"/>
          <w:numId w:val="2"/>
        </w:numPr>
        <w:ind w:left="851" w:hanging="491"/>
        <w:jc w:val="both"/>
        <w:rPr>
          <w:b/>
        </w:rPr>
      </w:pPr>
      <w:r>
        <w:rPr>
          <w:b/>
        </w:rPr>
        <w:t xml:space="preserve">Требование к условиям расчетов: </w:t>
      </w:r>
      <w:r>
        <w:t>Оплата производиться в форме безналичного расчета путем перечисления денежных средств на расчетный счет в течении 45 дней после поставки товара на склад.</w:t>
      </w:r>
    </w:p>
    <w:p w:rsidR="00A049E7" w:rsidRDefault="00A049E7" w:rsidP="008C1134">
      <w:pPr>
        <w:pStyle w:val="a3"/>
        <w:numPr>
          <w:ilvl w:val="1"/>
          <w:numId w:val="2"/>
        </w:numPr>
        <w:ind w:left="851" w:hanging="491"/>
        <w:jc w:val="both"/>
        <w:rPr>
          <w:b/>
        </w:rPr>
      </w:pPr>
      <w:r>
        <w:rPr>
          <w:b/>
        </w:rPr>
        <w:lastRenderedPageBreak/>
        <w:t xml:space="preserve">Иные требования: </w:t>
      </w:r>
      <w:r>
        <w:t>по эл. почте Исполнителю высылаются эскизы, фотографии от Заказчика. Заказчику высылается макет, разработанный дизайнером Исполнителя по согласованному ранее техническому заданию.</w:t>
      </w:r>
    </w:p>
    <w:p w:rsidR="00A049E7" w:rsidRDefault="00A049E7" w:rsidP="008C1134">
      <w:pPr>
        <w:pStyle w:val="a3"/>
        <w:numPr>
          <w:ilvl w:val="0"/>
          <w:numId w:val="2"/>
        </w:numPr>
        <w:ind w:left="851" w:hanging="491"/>
        <w:jc w:val="both"/>
        <w:rPr>
          <w:b/>
        </w:rPr>
      </w:pPr>
      <w:r>
        <w:rPr>
          <w:b/>
        </w:rPr>
        <w:t>Дополнительные требования к Исполнителю (кроме тех, которые необоснованно ограничивают конкуренцию):</w:t>
      </w:r>
    </w:p>
    <w:p w:rsidR="00A049E7" w:rsidRPr="00E04BD5" w:rsidRDefault="00E04BD5" w:rsidP="008C1134">
      <w:pPr>
        <w:pStyle w:val="a3"/>
        <w:numPr>
          <w:ilvl w:val="1"/>
          <w:numId w:val="2"/>
        </w:numPr>
        <w:ind w:left="851" w:hanging="491"/>
        <w:jc w:val="both"/>
        <w:rPr>
          <w:b/>
        </w:rPr>
      </w:pPr>
      <w:r>
        <w:t>Исполнитель и все Аффилированные лица обязуются не совершать прямо или косвенно в связи с настоящими Работами следующих действий:</w:t>
      </w:r>
    </w:p>
    <w:p w:rsidR="00E04BD5" w:rsidRPr="00E04BD5" w:rsidRDefault="00E04BD5" w:rsidP="008C1134">
      <w:pPr>
        <w:pStyle w:val="a3"/>
        <w:numPr>
          <w:ilvl w:val="2"/>
          <w:numId w:val="2"/>
        </w:numPr>
        <w:ind w:left="851" w:hanging="567"/>
        <w:jc w:val="both"/>
        <w:rPr>
          <w:b/>
        </w:rPr>
      </w:pPr>
      <w:r>
        <w:t xml:space="preserve">Платить, предлагать, обещать либо разрешать уплатить какие-либо денежные средства или предоставить иные ценности (включая подарки, развлечения и субсидии) каким-либо Лицам, связанным с государством, в целях неравномерного получения, сохранения или ведения бизнеса либо получения незаконных преимуществ для Заказчика; а также </w:t>
      </w:r>
    </w:p>
    <w:p w:rsidR="00E04BD5" w:rsidRPr="0022267A" w:rsidRDefault="00E04BD5" w:rsidP="008C1134">
      <w:pPr>
        <w:pStyle w:val="a3"/>
        <w:numPr>
          <w:ilvl w:val="2"/>
          <w:numId w:val="2"/>
        </w:numPr>
        <w:ind w:left="851" w:hanging="567"/>
        <w:jc w:val="both"/>
        <w:rPr>
          <w:b/>
        </w:rPr>
      </w:pPr>
      <w:r>
        <w:t>Не совершать иных действий</w:t>
      </w:r>
      <w:r w:rsidR="0022267A">
        <w:t>, которые нарушают действующие законы, запрещающие взятничество в сфере коммерции, включая коммерческий подкуп и иные противозаконные и неправомерные средства ведения бизнеса.</w:t>
      </w:r>
    </w:p>
    <w:p w:rsidR="0022267A" w:rsidRPr="0022267A" w:rsidRDefault="0022267A" w:rsidP="008C1134">
      <w:pPr>
        <w:pStyle w:val="a3"/>
        <w:numPr>
          <w:ilvl w:val="1"/>
          <w:numId w:val="2"/>
        </w:numPr>
        <w:ind w:left="851" w:hanging="491"/>
        <w:jc w:val="both"/>
        <w:rPr>
          <w:b/>
        </w:rPr>
      </w:pPr>
      <w:r>
        <w:t>Исполнитель не является Лицом, связанным с государством, и не имеет публичных должностных лиц, являющихся его должностными лицами, работниками, либо прямыми или косвенными владельцами. Исполнитель обязуется незамедлительно информировать Заказчика в письменной форме обо всех случаях, когда какое-либо публичное должностное лицо станет должностным лицом или работником Исполнителя либо приобретет прямую или косвенную долю участия в уставном капитале Исполнителя.</w:t>
      </w:r>
    </w:p>
    <w:p w:rsidR="0022267A" w:rsidRPr="0022267A" w:rsidRDefault="0022267A" w:rsidP="008C1134">
      <w:pPr>
        <w:pStyle w:val="a3"/>
        <w:numPr>
          <w:ilvl w:val="1"/>
          <w:numId w:val="2"/>
        </w:numPr>
        <w:ind w:left="851" w:hanging="491"/>
        <w:jc w:val="both"/>
        <w:rPr>
          <w:b/>
        </w:rPr>
      </w:pPr>
      <w:r>
        <w:t>Исполнитель создан в целях осуществления легитимной хозяйственной деятельности, а не в каких-либо незаконных целях и имеет только законные источники финансирования.</w:t>
      </w:r>
    </w:p>
    <w:p w:rsidR="0022267A" w:rsidRPr="0022267A" w:rsidRDefault="0022267A" w:rsidP="008C1134">
      <w:pPr>
        <w:pStyle w:val="a3"/>
        <w:numPr>
          <w:ilvl w:val="1"/>
          <w:numId w:val="2"/>
        </w:numPr>
        <w:ind w:left="851" w:hanging="491"/>
        <w:jc w:val="both"/>
        <w:rPr>
          <w:b/>
        </w:rPr>
      </w:pPr>
      <w:r>
        <w:t>Исполнитель и его Аффилированные лица не были осуждены за совершение или признаны виновными в совершении каких-либо противозаконных действий, связанных с мошенничеством или коррупцией. Исполнитель обязуется немедленно информировать Заказчика в письменно форме, если Исполнитель или какие-либо его Аффилированные лица будут осуждены за совершение или признаны виновными в совершении таких противоправных действий.</w:t>
      </w:r>
    </w:p>
    <w:p w:rsidR="0022267A" w:rsidRPr="00884A1E" w:rsidRDefault="0022267A" w:rsidP="008C1134">
      <w:pPr>
        <w:pStyle w:val="a3"/>
        <w:numPr>
          <w:ilvl w:val="1"/>
          <w:numId w:val="2"/>
        </w:numPr>
        <w:ind w:left="851" w:hanging="491"/>
        <w:jc w:val="both"/>
        <w:rPr>
          <w:b/>
        </w:rPr>
      </w:pPr>
      <w:r>
        <w:t>Исполнитель обязуется обеспечивать, чтобы все документы, которые будут подготовлены, утверждены либо оформлены в связи с настоящими Работами, включая без ограничений документацию, связанные со средствами, затраченными от имени Заказчика в связи с настоящими Работами, были полными, достоверными и точными. Исполнитель обязуется в течении не менее пяти лет хранить документацию в связи с настоящими Работами.</w:t>
      </w:r>
    </w:p>
    <w:p w:rsidR="00884A1E" w:rsidRPr="00884A1E" w:rsidRDefault="00884A1E" w:rsidP="008C1134">
      <w:pPr>
        <w:pStyle w:val="a3"/>
        <w:numPr>
          <w:ilvl w:val="1"/>
          <w:numId w:val="2"/>
        </w:numPr>
        <w:ind w:left="851"/>
        <w:jc w:val="both"/>
        <w:rPr>
          <w:b/>
        </w:rPr>
      </w:pPr>
      <w:r>
        <w:t>Исполнитель подтверждает, что он ознакомился с Комплаенс политикой ПАО «НЕФАЗ», доступной на официальном веб-сайте ПАО «НЕФАЗ». Исполнитель удостоверяет, что он полностью понимает Комплаенс политику ПАО «НЕФАЗ».</w:t>
      </w:r>
    </w:p>
    <w:p w:rsidR="00884A1E" w:rsidRPr="00884A1E" w:rsidRDefault="00884A1E" w:rsidP="008C1134">
      <w:pPr>
        <w:pStyle w:val="a3"/>
        <w:numPr>
          <w:ilvl w:val="1"/>
          <w:numId w:val="2"/>
        </w:numPr>
        <w:ind w:left="851" w:hanging="491"/>
        <w:jc w:val="both"/>
        <w:rPr>
          <w:b/>
        </w:rPr>
      </w:pPr>
      <w:r>
        <w:t>Исполнитель обязуется добросовестно оказывать Заказчику помощь и содействие в случае действительного или возможного нарушения требований настоящий Антикоррупционной оговорки, в том числе обязуется обеспечивать возможность проведения опроса своих владельцев, директоров, должностных лиц и прочих Аффилированных лиц.</w:t>
      </w:r>
    </w:p>
    <w:p w:rsidR="00884A1E" w:rsidRPr="008C1134" w:rsidRDefault="00884A1E" w:rsidP="00304CF8">
      <w:pPr>
        <w:pStyle w:val="a3"/>
        <w:ind w:left="851"/>
        <w:jc w:val="both"/>
        <w:rPr>
          <w:b/>
        </w:rPr>
      </w:pPr>
    </w:p>
    <w:p w:rsidR="008C1134" w:rsidRPr="008C1134" w:rsidRDefault="008C1134" w:rsidP="008C1134">
      <w:pPr>
        <w:rPr>
          <w:b/>
        </w:rPr>
      </w:pPr>
      <w:bookmarkStart w:id="0" w:name="_GoBack"/>
      <w:bookmarkEnd w:id="0"/>
    </w:p>
    <w:sectPr w:rsidR="008C1134" w:rsidRPr="008C11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A4356E"/>
    <w:multiLevelType w:val="multilevel"/>
    <w:tmpl w:val="B58C28F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2E2159B4"/>
    <w:multiLevelType w:val="multilevel"/>
    <w:tmpl w:val="0A7210E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120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" w15:restartNumberingAfterBreak="0">
    <w:nsid w:val="445706CB"/>
    <w:multiLevelType w:val="hybridMultilevel"/>
    <w:tmpl w:val="C152F59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693B"/>
    <w:rsid w:val="000F6691"/>
    <w:rsid w:val="00121F62"/>
    <w:rsid w:val="0022267A"/>
    <w:rsid w:val="002D4A52"/>
    <w:rsid w:val="00304CF8"/>
    <w:rsid w:val="003A693B"/>
    <w:rsid w:val="00415D3C"/>
    <w:rsid w:val="004A3806"/>
    <w:rsid w:val="004C22AA"/>
    <w:rsid w:val="0074338C"/>
    <w:rsid w:val="00884A1E"/>
    <w:rsid w:val="008C1134"/>
    <w:rsid w:val="00951C81"/>
    <w:rsid w:val="00A049E7"/>
    <w:rsid w:val="00AE36BF"/>
    <w:rsid w:val="00B47710"/>
    <w:rsid w:val="00BA3AE9"/>
    <w:rsid w:val="00D65AAB"/>
    <w:rsid w:val="00E04BD5"/>
    <w:rsid w:val="00F831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DE6024B-FCEF-4AF8-A74B-2458139268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4A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D4A52"/>
    <w:pPr>
      <w:ind w:left="720"/>
      <w:contextualSpacing/>
    </w:pPr>
  </w:style>
  <w:style w:type="table" w:styleId="a4">
    <w:name w:val="Table Grid"/>
    <w:basedOn w:val="a1"/>
    <w:uiPriority w:val="39"/>
    <w:rsid w:val="002D4A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 Spacing"/>
    <w:uiPriority w:val="1"/>
    <w:qFormat/>
    <w:rsid w:val="002D4A52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415D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415D3C"/>
    <w:rPr>
      <w:rFonts w:ascii="Segoe UI" w:hAnsi="Segoe UI" w:cs="Segoe UI"/>
      <w:sz w:val="18"/>
      <w:szCs w:val="18"/>
    </w:rPr>
  </w:style>
  <w:style w:type="character" w:styleId="a8">
    <w:name w:val="Hyperlink"/>
    <w:basedOn w:val="a0"/>
    <w:uiPriority w:val="99"/>
    <w:unhideWhenUsed/>
    <w:rsid w:val="00951C8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hyperlink" Target="http://www.nefaz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2</Pages>
  <Words>645</Words>
  <Characters>3682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PAO NEFAZ</Company>
  <LinksUpToDate>false</LinksUpToDate>
  <CharactersWithSpaces>4319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Мусин Алмаз Фирдаусович</dc:creator>
  <cp:keywords/>
  <dc:description/>
  <cp:lastModifiedBy>Мустафина Лиана Шарифяновна</cp:lastModifiedBy>
  <cp:revision>11</cp:revision>
  <cp:lastPrinted>2024-07-22T08:59:00Z</cp:lastPrinted>
  <dcterms:created xsi:type="dcterms:W3CDTF">2024-07-22T05:24:00Z</dcterms:created>
  <dcterms:modified xsi:type="dcterms:W3CDTF">2024-08-16T08:39:00Z</dcterms:modified>
</cp:coreProperties>
</file>